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43B3" w14:textId="77777777" w:rsidR="00E81214" w:rsidRDefault="00E81214" w:rsidP="007C409D">
      <w:pPr>
        <w:autoSpaceDE w:val="0"/>
        <w:autoSpaceDN w:val="0"/>
        <w:adjustRightInd w:val="0"/>
        <w:spacing w:after="0" w:line="240" w:lineRule="auto"/>
        <w:rPr>
          <w:rFonts w:ascii="Century Gothic" w:hAnsi="Century Gothic" w:cs="AbrilFatface-Regular"/>
          <w:color w:val="000000" w:themeColor="text1"/>
          <w:sz w:val="20"/>
          <w:szCs w:val="20"/>
        </w:rPr>
      </w:pPr>
    </w:p>
    <w:p w14:paraId="3645F0C3" w14:textId="4EB2FB7D" w:rsidR="007C409D" w:rsidRPr="00E81214" w:rsidRDefault="007C409D" w:rsidP="00E81214">
      <w:pPr>
        <w:pStyle w:val="Kop1"/>
        <w:shd w:val="clear" w:color="auto" w:fill="D9D9D9" w:themeFill="background1" w:themeFillShade="D9"/>
      </w:pPr>
      <w:r w:rsidRPr="00E81214">
        <w:t>Klachtenreglement 2023</w:t>
      </w:r>
      <w:r w:rsidR="00E81214">
        <w:t xml:space="preserve"> </w:t>
      </w:r>
      <w:r w:rsidRPr="00E81214">
        <w:t>Bilan Holding B.V.</w:t>
      </w:r>
    </w:p>
    <w:p w14:paraId="34322FF3" w14:textId="77777777" w:rsidR="007C409D" w:rsidRPr="00E81214" w:rsidRDefault="007C409D" w:rsidP="00E81214">
      <w:pPr>
        <w:pStyle w:val="Kop2"/>
      </w:pPr>
      <w:r w:rsidRPr="00E81214">
        <w:t>Preambule</w:t>
      </w:r>
    </w:p>
    <w:p w14:paraId="79DE6E80" w14:textId="52E83E2E"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 xml:space="preserve">Bilan Holding B.V. heeft voor haar werkmaatschappijen Bilan coaching, training en advies B.V. en Bilan cultuursensitieve re-integratie B.V, </w:t>
      </w:r>
      <w:r w:rsidR="00C45E20">
        <w:rPr>
          <w:rFonts w:ascii="Century Gothic" w:hAnsi="Century Gothic" w:cs="Nunito-Regular"/>
          <w:color w:val="000000" w:themeColor="text1"/>
          <w:sz w:val="20"/>
          <w:szCs w:val="20"/>
        </w:rPr>
        <w:t>e</w:t>
      </w:r>
      <w:r w:rsidRPr="00E81214">
        <w:rPr>
          <w:rFonts w:ascii="Century Gothic" w:hAnsi="Century Gothic" w:cs="Nunito-Regular"/>
          <w:color w:val="000000" w:themeColor="text1"/>
          <w:sz w:val="20"/>
          <w:szCs w:val="20"/>
        </w:rPr>
        <w:t xml:space="preserve">en onafhankelijke klachtenprocedure vastgesteld die in dit reglement wordt beschreven. </w:t>
      </w:r>
    </w:p>
    <w:p w14:paraId="1FAF1A66" w14:textId="7A34F4DC"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 xml:space="preserve">De klachtenprocedure is in het leven geroepen om een onafhankelijk oordeel te krijgen over de vraag of </w:t>
      </w:r>
      <w:r w:rsidR="00F83B72">
        <w:rPr>
          <w:rFonts w:ascii="Century Gothic" w:hAnsi="Century Gothic" w:cs="Nunito-Regular"/>
          <w:color w:val="000000" w:themeColor="text1"/>
          <w:sz w:val="20"/>
          <w:szCs w:val="20"/>
        </w:rPr>
        <w:t>de t</w:t>
      </w:r>
      <w:r w:rsidRPr="00E81214">
        <w:rPr>
          <w:rFonts w:ascii="Century Gothic" w:hAnsi="Century Gothic" w:cs="Nunito-Regular"/>
          <w:color w:val="000000" w:themeColor="text1"/>
          <w:sz w:val="20"/>
          <w:szCs w:val="20"/>
        </w:rPr>
        <w:t>rainer, heeft gehandeld conform hetgeen van een redelijk handelend en redelijk bekwaam</w:t>
      </w:r>
      <w:r w:rsidR="00157BBB">
        <w:rPr>
          <w:rFonts w:ascii="Century Gothic" w:hAnsi="Century Gothic" w:cs="Nunito-Regular"/>
          <w:color w:val="000000" w:themeColor="text1"/>
          <w:sz w:val="20"/>
          <w:szCs w:val="20"/>
        </w:rPr>
        <w:t xml:space="preserve"> </w:t>
      </w:r>
      <w:r w:rsidR="00157BBB" w:rsidRPr="00E81214">
        <w:rPr>
          <w:rFonts w:ascii="Century Gothic" w:hAnsi="Century Gothic" w:cs="Nunito-Regular"/>
          <w:color w:val="000000" w:themeColor="text1"/>
          <w:sz w:val="20"/>
          <w:szCs w:val="20"/>
        </w:rPr>
        <w:t xml:space="preserve">coach, adviseur of trainer </w:t>
      </w:r>
      <w:r w:rsidRPr="00E81214">
        <w:rPr>
          <w:rFonts w:ascii="Century Gothic" w:hAnsi="Century Gothic" w:cs="Nunito-Regular"/>
          <w:color w:val="000000" w:themeColor="text1"/>
          <w:sz w:val="20"/>
          <w:szCs w:val="20"/>
        </w:rPr>
        <w:t>mag worden verwacht. Doel van de klachtenprocedure is het waarborgen en verbeteren van de kwaliteit van de dienstverlening van de medewerkers van Bilan Holding B.V..</w:t>
      </w:r>
      <w:r w:rsidR="00157BBB">
        <w:rPr>
          <w:rFonts w:ascii="Century Gothic" w:hAnsi="Century Gothic" w:cs="Nunito-Regular"/>
          <w:color w:val="000000" w:themeColor="text1"/>
          <w:sz w:val="20"/>
          <w:szCs w:val="20"/>
        </w:rPr>
        <w:t xml:space="preserve"> Klachten omtrent coaching door NOBCO coaches </w:t>
      </w:r>
      <w:r w:rsidR="007825F9">
        <w:rPr>
          <w:rFonts w:ascii="Century Gothic" w:hAnsi="Century Gothic" w:cs="Nunito-Regular"/>
          <w:color w:val="000000" w:themeColor="text1"/>
          <w:sz w:val="20"/>
          <w:szCs w:val="20"/>
        </w:rPr>
        <w:t>kunnen</w:t>
      </w:r>
      <w:r w:rsidR="00157BBB">
        <w:rPr>
          <w:rFonts w:ascii="Century Gothic" w:hAnsi="Century Gothic" w:cs="Nunito-Regular"/>
          <w:color w:val="000000" w:themeColor="text1"/>
          <w:sz w:val="20"/>
          <w:szCs w:val="20"/>
        </w:rPr>
        <w:t xml:space="preserve"> </w:t>
      </w:r>
      <w:r w:rsidR="00C45E20">
        <w:rPr>
          <w:rFonts w:ascii="Century Gothic" w:hAnsi="Century Gothic" w:cs="Nunito-Regular"/>
          <w:color w:val="000000" w:themeColor="text1"/>
          <w:sz w:val="20"/>
          <w:szCs w:val="20"/>
        </w:rPr>
        <w:t>tevens</w:t>
      </w:r>
      <w:r w:rsidR="007825F9">
        <w:rPr>
          <w:rFonts w:ascii="Century Gothic" w:hAnsi="Century Gothic" w:cs="Nunito-Regular"/>
          <w:color w:val="000000" w:themeColor="text1"/>
          <w:sz w:val="20"/>
          <w:szCs w:val="20"/>
        </w:rPr>
        <w:t xml:space="preserve"> bij </w:t>
      </w:r>
      <w:r w:rsidR="00157BBB">
        <w:rPr>
          <w:rFonts w:ascii="Century Gothic" w:hAnsi="Century Gothic" w:cs="Nunito-Regular"/>
          <w:color w:val="000000" w:themeColor="text1"/>
          <w:sz w:val="20"/>
          <w:szCs w:val="20"/>
        </w:rPr>
        <w:t>het NOBCO</w:t>
      </w:r>
      <w:r w:rsidR="00133C74">
        <w:rPr>
          <w:rFonts w:ascii="Century Gothic" w:hAnsi="Century Gothic" w:cs="Nunito-Regular"/>
          <w:color w:val="000000" w:themeColor="text1"/>
          <w:sz w:val="20"/>
          <w:szCs w:val="20"/>
        </w:rPr>
        <w:t xml:space="preserve"> klachtenreglement</w:t>
      </w:r>
      <w:r w:rsidR="007825F9">
        <w:rPr>
          <w:rFonts w:ascii="Century Gothic" w:hAnsi="Century Gothic" w:cs="Nunito-Regular"/>
          <w:color w:val="000000" w:themeColor="text1"/>
          <w:sz w:val="20"/>
          <w:szCs w:val="20"/>
        </w:rPr>
        <w:t xml:space="preserve"> gemeld worden, klachten van NOBTR</w:t>
      </w:r>
      <w:r w:rsidR="001E738E">
        <w:rPr>
          <w:rFonts w:ascii="Century Gothic" w:hAnsi="Century Gothic" w:cs="Nunito-Regular"/>
          <w:color w:val="000000" w:themeColor="text1"/>
          <w:sz w:val="20"/>
          <w:szCs w:val="20"/>
        </w:rPr>
        <w:t>A</w:t>
      </w:r>
      <w:r w:rsidR="007825F9">
        <w:rPr>
          <w:rFonts w:ascii="Century Gothic" w:hAnsi="Century Gothic" w:cs="Nunito-Regular"/>
          <w:color w:val="000000" w:themeColor="text1"/>
          <w:sz w:val="20"/>
          <w:szCs w:val="20"/>
        </w:rPr>
        <w:t xml:space="preserve"> </w:t>
      </w:r>
      <w:r w:rsidR="001E738E">
        <w:rPr>
          <w:rFonts w:ascii="Century Gothic" w:hAnsi="Century Gothic" w:cs="Nunito-Regular"/>
          <w:color w:val="000000" w:themeColor="text1"/>
          <w:sz w:val="20"/>
          <w:szCs w:val="20"/>
        </w:rPr>
        <w:t>aangesloten</w:t>
      </w:r>
      <w:r w:rsidR="007825F9">
        <w:rPr>
          <w:rFonts w:ascii="Century Gothic" w:hAnsi="Century Gothic" w:cs="Nunito-Regular"/>
          <w:color w:val="000000" w:themeColor="text1"/>
          <w:sz w:val="20"/>
          <w:szCs w:val="20"/>
        </w:rPr>
        <w:t xml:space="preserve"> </w:t>
      </w:r>
      <w:r w:rsidR="001E738E">
        <w:rPr>
          <w:rFonts w:ascii="Century Gothic" w:hAnsi="Century Gothic" w:cs="Nunito-Regular"/>
          <w:color w:val="000000" w:themeColor="text1"/>
          <w:sz w:val="20"/>
          <w:szCs w:val="20"/>
        </w:rPr>
        <w:t>trainers</w:t>
      </w:r>
      <w:r w:rsidR="007825F9">
        <w:rPr>
          <w:rFonts w:ascii="Century Gothic" w:hAnsi="Century Gothic" w:cs="Nunito-Regular"/>
          <w:color w:val="000000" w:themeColor="text1"/>
          <w:sz w:val="20"/>
          <w:szCs w:val="20"/>
        </w:rPr>
        <w:t xml:space="preserve"> </w:t>
      </w:r>
      <w:r w:rsidR="001E738E">
        <w:rPr>
          <w:rFonts w:ascii="Century Gothic" w:hAnsi="Century Gothic" w:cs="Nunito-Regular"/>
          <w:color w:val="000000" w:themeColor="text1"/>
          <w:sz w:val="20"/>
          <w:szCs w:val="20"/>
        </w:rPr>
        <w:t>kunnen</w:t>
      </w:r>
      <w:r w:rsidR="007825F9">
        <w:rPr>
          <w:rFonts w:ascii="Century Gothic" w:hAnsi="Century Gothic" w:cs="Nunito-Regular"/>
          <w:color w:val="000000" w:themeColor="text1"/>
          <w:sz w:val="20"/>
          <w:szCs w:val="20"/>
        </w:rPr>
        <w:t xml:space="preserve"> ook bij het NOBTR</w:t>
      </w:r>
      <w:r w:rsidR="001E738E">
        <w:rPr>
          <w:rFonts w:ascii="Century Gothic" w:hAnsi="Century Gothic" w:cs="Nunito-Regular"/>
          <w:color w:val="000000" w:themeColor="text1"/>
          <w:sz w:val="20"/>
          <w:szCs w:val="20"/>
        </w:rPr>
        <w:t>A</w:t>
      </w:r>
      <w:r w:rsidR="007825F9">
        <w:rPr>
          <w:rFonts w:ascii="Century Gothic" w:hAnsi="Century Gothic" w:cs="Nunito-Regular"/>
          <w:color w:val="000000" w:themeColor="text1"/>
          <w:sz w:val="20"/>
          <w:szCs w:val="20"/>
        </w:rPr>
        <w:t xml:space="preserve"> worden aange</w:t>
      </w:r>
      <w:r w:rsidR="001E738E">
        <w:rPr>
          <w:rFonts w:ascii="Century Gothic" w:hAnsi="Century Gothic" w:cs="Nunito-Regular"/>
          <w:color w:val="000000" w:themeColor="text1"/>
          <w:sz w:val="20"/>
          <w:szCs w:val="20"/>
        </w:rPr>
        <w:t>meld.</w:t>
      </w:r>
    </w:p>
    <w:p w14:paraId="3BA34037" w14:textId="77777777" w:rsidR="007C409D" w:rsidRPr="00E81214" w:rsidRDefault="007C409D" w:rsidP="007C409D">
      <w:pPr>
        <w:autoSpaceDE w:val="0"/>
        <w:autoSpaceDN w:val="0"/>
        <w:adjustRightInd w:val="0"/>
        <w:spacing w:after="0" w:line="240" w:lineRule="auto"/>
        <w:rPr>
          <w:rFonts w:ascii="Century Gothic" w:hAnsi="Century Gothic" w:cs="Nunito-Bold"/>
          <w:b/>
          <w:bCs/>
          <w:color w:val="000000" w:themeColor="text1"/>
          <w:sz w:val="20"/>
          <w:szCs w:val="20"/>
        </w:rPr>
      </w:pPr>
    </w:p>
    <w:p w14:paraId="60622084" w14:textId="09A56CE0" w:rsidR="00E81214" w:rsidRPr="00E81214" w:rsidRDefault="007C409D" w:rsidP="00E81214">
      <w:pPr>
        <w:pStyle w:val="Kop2"/>
        <w:rPr>
          <w:rFonts w:ascii="Century Gothic" w:hAnsi="Century Gothic" w:cs="Nunito-Bold"/>
          <w:b w:val="0"/>
          <w:bCs/>
          <w:color w:val="000000" w:themeColor="text1"/>
          <w:sz w:val="20"/>
          <w:szCs w:val="20"/>
        </w:rPr>
      </w:pPr>
      <w:r w:rsidRPr="00E81214">
        <w:t xml:space="preserve">Commissie Klachtbehandeling </w:t>
      </w:r>
    </w:p>
    <w:p w14:paraId="2BB6E2AB" w14:textId="7C48FCD7"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 xml:space="preserve">Klachten worden behandeld door de Commissie Klachtbehandeling. </w:t>
      </w:r>
    </w:p>
    <w:p w14:paraId="0E05C821" w14:textId="2A4E7E14"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De</w:t>
      </w:r>
      <w:r w:rsidR="00E81214" w:rsidRPr="00E81214">
        <w:rPr>
          <w:rFonts w:ascii="Century Gothic" w:hAnsi="Century Gothic" w:cs="Nunito-Regular"/>
          <w:color w:val="000000" w:themeColor="text1"/>
          <w:sz w:val="20"/>
          <w:szCs w:val="20"/>
        </w:rPr>
        <w:t>ze commissie bestaat uit 2 functionarissen die onafhankelijk opereren conform de interne k</w:t>
      </w:r>
      <w:r w:rsidR="00E81214">
        <w:rPr>
          <w:rFonts w:ascii="Century Gothic" w:hAnsi="Century Gothic" w:cs="Nunito-Regular"/>
          <w:color w:val="000000" w:themeColor="text1"/>
          <w:sz w:val="20"/>
          <w:szCs w:val="20"/>
        </w:rPr>
        <w:t>l</w:t>
      </w:r>
      <w:r w:rsidR="00E81214" w:rsidRPr="00E81214">
        <w:rPr>
          <w:rFonts w:ascii="Century Gothic" w:hAnsi="Century Gothic" w:cs="Nunito-Regular"/>
          <w:color w:val="000000" w:themeColor="text1"/>
          <w:sz w:val="20"/>
          <w:szCs w:val="20"/>
        </w:rPr>
        <w:t>achtenprocedure</w:t>
      </w:r>
      <w:r w:rsidRPr="00E81214">
        <w:rPr>
          <w:rFonts w:ascii="Century Gothic" w:hAnsi="Century Gothic" w:cs="Nunito-Regular"/>
          <w:color w:val="000000" w:themeColor="text1"/>
          <w:sz w:val="20"/>
          <w:szCs w:val="20"/>
        </w:rPr>
        <w:t>. De commissies streeft er in de uitspraken naar dat zowel de klager als de coach, adviseur of trainer waarover de klacht gaat zich gehoord voelen en dat de coach, adviseur of trainer daaruit lering kan trekken voor zijn eigen praktijk.</w:t>
      </w:r>
    </w:p>
    <w:p w14:paraId="6B7EBD05" w14:textId="77777777"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p>
    <w:p w14:paraId="0EDB4167" w14:textId="77777777" w:rsidR="007C409D" w:rsidRPr="00E81214" w:rsidRDefault="007C409D" w:rsidP="00E81214">
      <w:pPr>
        <w:pStyle w:val="Kop2"/>
      </w:pPr>
      <w:r w:rsidRPr="00E81214">
        <w:t>Klachten</w:t>
      </w:r>
    </w:p>
    <w:p w14:paraId="2CB5A1EA" w14:textId="66DEB744"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Klachten kunnen zich uitsluitend richten tegen coach, adviseur of trainer werkzaam bij of in onderaanneming van Bilan Holding B.V.. Een klacht kan worden ingediend</w:t>
      </w:r>
      <w:r w:rsidR="00C45E20">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over het beroepsmatig handelen (doen of nalaten) van de coach, adviseur of trainer.</w:t>
      </w:r>
    </w:p>
    <w:p w14:paraId="00D7FC3D" w14:textId="453C804A"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De Commissie z</w:t>
      </w:r>
      <w:r w:rsidR="00E81214" w:rsidRPr="00E81214">
        <w:rPr>
          <w:rFonts w:ascii="Century Gothic" w:hAnsi="Century Gothic" w:cs="Nunito-Regular"/>
          <w:color w:val="000000" w:themeColor="text1"/>
          <w:sz w:val="20"/>
          <w:szCs w:val="20"/>
        </w:rPr>
        <w:t>al</w:t>
      </w:r>
      <w:r w:rsidRPr="00E81214">
        <w:rPr>
          <w:rFonts w:ascii="Century Gothic" w:hAnsi="Century Gothic" w:cs="Nunito-Regular"/>
          <w:color w:val="000000" w:themeColor="text1"/>
          <w:sz w:val="20"/>
          <w:szCs w:val="20"/>
        </w:rPr>
        <w:t xml:space="preserve"> het handelen van de coach, adviseur of trainer toetsen aan de algemeen geldende normen die in het maatschappelijk verkeer van toepassing zijn. </w:t>
      </w:r>
      <w:r w:rsidRPr="00E81214">
        <w:rPr>
          <w:rFonts w:ascii="Century Gothic" w:hAnsi="Century Gothic"/>
          <w:color w:val="000000" w:themeColor="text1"/>
          <w:sz w:val="20"/>
          <w:szCs w:val="20"/>
        </w:rPr>
        <w:t>De commissie behandelt de klacht zeer vertrouwelijk en houdt de</w:t>
      </w:r>
      <w:r w:rsidR="00E81214" w:rsidRPr="00E81214">
        <w:rPr>
          <w:rFonts w:ascii="Century Gothic" w:hAnsi="Century Gothic"/>
          <w:color w:val="000000" w:themeColor="text1"/>
          <w:sz w:val="20"/>
          <w:szCs w:val="20"/>
        </w:rPr>
        <w:t xml:space="preserve"> persoonlijke gegevens van de melder van de </w:t>
      </w:r>
      <w:r w:rsidRPr="00E81214">
        <w:rPr>
          <w:rFonts w:ascii="Century Gothic" w:hAnsi="Century Gothic"/>
          <w:color w:val="000000" w:themeColor="text1"/>
          <w:sz w:val="20"/>
          <w:szCs w:val="20"/>
        </w:rPr>
        <w:t xml:space="preserve">klacht geheim. De commissie zal met </w:t>
      </w:r>
      <w:r w:rsidR="000C5CDB">
        <w:rPr>
          <w:rFonts w:ascii="Century Gothic" w:hAnsi="Century Gothic"/>
          <w:color w:val="000000" w:themeColor="text1"/>
          <w:sz w:val="20"/>
          <w:szCs w:val="20"/>
        </w:rPr>
        <w:t xml:space="preserve">de melder en </w:t>
      </w:r>
      <w:r w:rsidRPr="00E81214">
        <w:rPr>
          <w:rFonts w:ascii="Century Gothic" w:hAnsi="Century Gothic"/>
          <w:color w:val="000000" w:themeColor="text1"/>
          <w:sz w:val="20"/>
          <w:szCs w:val="20"/>
        </w:rPr>
        <w:t>ook de betrokkenen praten om goed te begrijpen wat de klacht inhoudt.</w:t>
      </w:r>
    </w:p>
    <w:p w14:paraId="54456A6D" w14:textId="182848A9"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De Commissie Klachtbehandeling doet een uitspraak over de ontvankelijkheid en</w:t>
      </w:r>
      <w:r w:rsidR="00C45E20">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gedeeltelijke) gegrondheid van een klacht. Als een klacht geheel of gedeeltelijk gegrond wordt bevonden, kan de Commissie Klachtbehandeling aan de coach, adviseur of trainer een sanctie opleggen.</w:t>
      </w:r>
    </w:p>
    <w:p w14:paraId="765534A3" w14:textId="77777777" w:rsidR="007C409D" w:rsidRPr="00E81214" w:rsidRDefault="007C409D" w:rsidP="007C409D">
      <w:pPr>
        <w:autoSpaceDE w:val="0"/>
        <w:autoSpaceDN w:val="0"/>
        <w:adjustRightInd w:val="0"/>
        <w:spacing w:after="0" w:line="240" w:lineRule="auto"/>
        <w:rPr>
          <w:rFonts w:ascii="Century Gothic" w:hAnsi="Century Gothic" w:cs="Nunito-Bold"/>
          <w:b/>
          <w:bCs/>
          <w:color w:val="000000" w:themeColor="text1"/>
          <w:sz w:val="20"/>
          <w:szCs w:val="20"/>
        </w:rPr>
      </w:pPr>
    </w:p>
    <w:p w14:paraId="223199F3" w14:textId="77777777" w:rsidR="007C409D" w:rsidRPr="00E81214" w:rsidRDefault="007C409D" w:rsidP="00E81214">
      <w:pPr>
        <w:pStyle w:val="Kop2"/>
      </w:pPr>
      <w:r w:rsidRPr="00E81214">
        <w:t>Uitspraken</w:t>
      </w:r>
    </w:p>
    <w:p w14:paraId="733DF2D8" w14:textId="5C782D4C"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 xml:space="preserve">Bilan Holding B.V beschouwt bekendmaking van de uitspraken van de Commissie Klachtbehandeling als een belangrijke bijdrage aan de kwaliteit van de dienstverlening van de aangesloten coaches, adviseurs of trainers. </w:t>
      </w:r>
    </w:p>
    <w:p w14:paraId="6F260B35" w14:textId="77777777"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p>
    <w:p w14:paraId="07389742" w14:textId="096E9567" w:rsidR="007C409D" w:rsidRPr="00E81214" w:rsidRDefault="007C409D" w:rsidP="00E81214">
      <w:pPr>
        <w:pStyle w:val="Kop2"/>
      </w:pPr>
      <w:r w:rsidRPr="00E81214">
        <w:t>Geheimhouding</w:t>
      </w:r>
    </w:p>
    <w:p w14:paraId="45C4D673" w14:textId="6C93ABA6"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De leden van de Commissie Klachtbehandeling</w:t>
      </w:r>
      <w:r w:rsidR="00E81214" w:rsidRPr="00E81214">
        <w:rPr>
          <w:rFonts w:ascii="Century Gothic" w:hAnsi="Century Gothic" w:cs="Nunito-Regular"/>
          <w:color w:val="000000" w:themeColor="text1"/>
          <w:sz w:val="20"/>
          <w:szCs w:val="20"/>
        </w:rPr>
        <w:t>, de directie</w:t>
      </w:r>
      <w:r w:rsidRPr="00E81214">
        <w:rPr>
          <w:rFonts w:ascii="Century Gothic" w:hAnsi="Century Gothic" w:cs="Nunito-Regular"/>
          <w:color w:val="000000" w:themeColor="text1"/>
          <w:sz w:val="20"/>
          <w:szCs w:val="20"/>
        </w:rPr>
        <w:t xml:space="preserve"> en anderen die vanwege</w:t>
      </w:r>
      <w:r w:rsidR="00E81214" w:rsidRPr="00E81214">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hun functie of hun deskundigheid bij de behandeling van een Klacht of een Beroep zijn betrokken, hebben een</w:t>
      </w:r>
      <w:r w:rsidR="00E81214">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geheimhoudingsplicht ten aanzien alles wat hen uit hoofde van hun betrokkenheid bij de Klacht of het Beroep</w:t>
      </w:r>
      <w:r w:rsidR="00E81214">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bekend is geworden.</w:t>
      </w:r>
    </w:p>
    <w:p w14:paraId="581A0B40" w14:textId="44C661DE" w:rsidR="007C409D" w:rsidRPr="00E81214" w:rsidRDefault="007C409D" w:rsidP="007C409D">
      <w:pPr>
        <w:autoSpaceDE w:val="0"/>
        <w:autoSpaceDN w:val="0"/>
        <w:adjustRightInd w:val="0"/>
        <w:spacing w:after="0" w:line="240" w:lineRule="auto"/>
        <w:rPr>
          <w:rFonts w:ascii="Century Gothic" w:hAnsi="Century Gothic" w:cs="Nunito-Regular"/>
          <w:color w:val="000000" w:themeColor="text1"/>
          <w:sz w:val="20"/>
          <w:szCs w:val="20"/>
        </w:rPr>
      </w:pPr>
      <w:r w:rsidRPr="00E81214">
        <w:rPr>
          <w:rFonts w:ascii="Century Gothic" w:hAnsi="Century Gothic" w:cs="Nunito-Regular"/>
          <w:color w:val="000000" w:themeColor="text1"/>
          <w:sz w:val="20"/>
          <w:szCs w:val="20"/>
        </w:rPr>
        <w:t>Deze geheimhoudingsplicht blijft onverkort van kracht na beëindiging van de werkzaamheden voor de</w:t>
      </w:r>
      <w:r w:rsidR="00E81214">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Commissie Klachtbehandeling</w:t>
      </w:r>
      <w:r w:rsidR="00E81214" w:rsidRPr="00E81214">
        <w:rPr>
          <w:rFonts w:ascii="Century Gothic" w:hAnsi="Century Gothic" w:cs="Nunito-Regular"/>
          <w:color w:val="000000" w:themeColor="text1"/>
          <w:sz w:val="20"/>
          <w:szCs w:val="20"/>
        </w:rPr>
        <w:t xml:space="preserve"> of de directie. De</w:t>
      </w:r>
      <w:r w:rsidRPr="00E81214">
        <w:rPr>
          <w:rFonts w:ascii="Century Gothic" w:hAnsi="Century Gothic" w:cs="Nunito-Regular"/>
          <w:color w:val="000000" w:themeColor="text1"/>
          <w:sz w:val="20"/>
          <w:szCs w:val="20"/>
        </w:rPr>
        <w:t xml:space="preserve"> geheimhoudingsplicht vervalt wanneer enig wettelijk voorschrift betrokkene tot bekendmaking verplicht of</w:t>
      </w:r>
      <w:r w:rsidR="00E81214">
        <w:rPr>
          <w:rFonts w:ascii="Century Gothic" w:hAnsi="Century Gothic" w:cs="Nunito-Regular"/>
          <w:color w:val="000000" w:themeColor="text1"/>
          <w:sz w:val="20"/>
          <w:szCs w:val="20"/>
        </w:rPr>
        <w:t xml:space="preserve"> </w:t>
      </w:r>
      <w:r w:rsidRPr="00E81214">
        <w:rPr>
          <w:rFonts w:ascii="Century Gothic" w:hAnsi="Century Gothic" w:cs="Nunito-Regular"/>
          <w:color w:val="000000" w:themeColor="text1"/>
          <w:sz w:val="20"/>
          <w:szCs w:val="20"/>
        </w:rPr>
        <w:t>de noodzaak tot bekendmaking voortvloeit uit zijn taak bij de uitvoering van dit reglement.</w:t>
      </w:r>
    </w:p>
    <w:sectPr w:rsidR="007C409D" w:rsidRPr="00E8121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0BFB" w14:textId="77777777" w:rsidR="00D642B5" w:rsidRDefault="00D642B5" w:rsidP="00E81214">
      <w:pPr>
        <w:spacing w:after="0" w:line="240" w:lineRule="auto"/>
      </w:pPr>
      <w:r>
        <w:separator/>
      </w:r>
    </w:p>
  </w:endnote>
  <w:endnote w:type="continuationSeparator" w:id="0">
    <w:p w14:paraId="31434605" w14:textId="77777777" w:rsidR="00D642B5" w:rsidRDefault="00D642B5" w:rsidP="00E8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rilFatface-Regular">
    <w:altName w:val="Cambria"/>
    <w:panose1 w:val="00000000000000000000"/>
    <w:charset w:val="00"/>
    <w:family w:val="roman"/>
    <w:notTrueType/>
    <w:pitch w:val="default"/>
    <w:sig w:usb0="00000003" w:usb1="00000000" w:usb2="00000000" w:usb3="00000000" w:csb0="00000001" w:csb1="00000000"/>
  </w:font>
  <w:font w:name="Nunito-Regular">
    <w:altName w:val="Nunito"/>
    <w:panose1 w:val="00000000000000000000"/>
    <w:charset w:val="00"/>
    <w:family w:val="swiss"/>
    <w:notTrueType/>
    <w:pitch w:val="default"/>
    <w:sig w:usb0="00000003" w:usb1="00000000" w:usb2="00000000" w:usb3="00000000" w:csb0="00000001" w:csb1="00000000"/>
  </w:font>
  <w:font w:name="Nunito-Bold">
    <w:altName w:val="Nuni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664B" w14:textId="77777777" w:rsidR="00D642B5" w:rsidRDefault="00D642B5" w:rsidP="00E81214">
      <w:pPr>
        <w:spacing w:after="0" w:line="240" w:lineRule="auto"/>
      </w:pPr>
      <w:r>
        <w:separator/>
      </w:r>
    </w:p>
  </w:footnote>
  <w:footnote w:type="continuationSeparator" w:id="0">
    <w:p w14:paraId="40BA8B9E" w14:textId="77777777" w:rsidR="00D642B5" w:rsidRDefault="00D642B5" w:rsidP="00E8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A6FE" w14:textId="5FE9153E" w:rsidR="00E81214" w:rsidRDefault="00E81214">
    <w:pPr>
      <w:pStyle w:val="Koptekst"/>
    </w:pPr>
    <w:r>
      <w:rPr>
        <w:noProof/>
      </w:rPr>
      <w:drawing>
        <wp:anchor distT="0" distB="0" distL="114300" distR="114300" simplePos="0" relativeHeight="251659264" behindDoc="1" locked="0" layoutInCell="1" allowOverlap="1" wp14:anchorId="356764D0" wp14:editId="60DE4E6F">
          <wp:simplePos x="0" y="0"/>
          <wp:positionH relativeFrom="column">
            <wp:posOffset>4589145</wp:posOffset>
          </wp:positionH>
          <wp:positionV relativeFrom="paragraph">
            <wp:posOffset>-306705</wp:posOffset>
          </wp:positionV>
          <wp:extent cx="1152525" cy="688340"/>
          <wp:effectExtent l="0" t="0" r="9525" b="0"/>
          <wp:wrapTight wrapText="bothSides">
            <wp:wrapPolygon edited="0">
              <wp:start x="0" y="0"/>
              <wp:lineTo x="0" y="20923"/>
              <wp:lineTo x="21421" y="20923"/>
              <wp:lineTo x="2142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52525" cy="688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A906B88" wp14:editId="7605FC38">
          <wp:simplePos x="0" y="0"/>
          <wp:positionH relativeFrom="column">
            <wp:posOffset>43180</wp:posOffset>
          </wp:positionH>
          <wp:positionV relativeFrom="paragraph">
            <wp:posOffset>-306070</wp:posOffset>
          </wp:positionV>
          <wp:extent cx="857250" cy="688340"/>
          <wp:effectExtent l="0" t="0" r="0" b="0"/>
          <wp:wrapTight wrapText="bothSides">
            <wp:wrapPolygon edited="0">
              <wp:start x="16320" y="0"/>
              <wp:lineTo x="4320" y="5380"/>
              <wp:lineTo x="480" y="7771"/>
              <wp:lineTo x="960" y="20923"/>
              <wp:lineTo x="21120" y="20923"/>
              <wp:lineTo x="20640" y="9565"/>
              <wp:lineTo x="19200" y="2391"/>
              <wp:lineTo x="18240" y="0"/>
              <wp:lineTo x="1632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857250" cy="6883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9D"/>
    <w:rsid w:val="000C5CDB"/>
    <w:rsid w:val="00133C74"/>
    <w:rsid w:val="00157BBB"/>
    <w:rsid w:val="00184449"/>
    <w:rsid w:val="001E738E"/>
    <w:rsid w:val="002A550F"/>
    <w:rsid w:val="003E3183"/>
    <w:rsid w:val="004D4EB8"/>
    <w:rsid w:val="00655A8C"/>
    <w:rsid w:val="006F2D72"/>
    <w:rsid w:val="00776DEC"/>
    <w:rsid w:val="007825F9"/>
    <w:rsid w:val="007C409D"/>
    <w:rsid w:val="0086130C"/>
    <w:rsid w:val="00942249"/>
    <w:rsid w:val="00B255B1"/>
    <w:rsid w:val="00C45E20"/>
    <w:rsid w:val="00CA7D23"/>
    <w:rsid w:val="00D642B5"/>
    <w:rsid w:val="00DF14CF"/>
    <w:rsid w:val="00E81214"/>
    <w:rsid w:val="00E90908"/>
    <w:rsid w:val="00F24800"/>
    <w:rsid w:val="00F81387"/>
    <w:rsid w:val="00F83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DE36"/>
  <w15:chartTrackingRefBased/>
  <w15:docId w15:val="{8B0C44AC-A0DE-4D28-A235-6A59C52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2249"/>
    <w:pPr>
      <w:keepNext/>
      <w:keepLines/>
      <w:spacing w:before="400" w:after="120" w:line="276" w:lineRule="auto"/>
      <w:outlineLvl w:val="0"/>
    </w:pPr>
    <w:rPr>
      <w:rFonts w:ascii="Century Gothic" w:eastAsia="Arial" w:hAnsi="Century Gothic" w:cs="Arial"/>
      <w:color w:val="EA639F"/>
      <w:sz w:val="40"/>
      <w:szCs w:val="40"/>
      <w:lang w:val="nl" w:eastAsia="nl-NL"/>
    </w:rPr>
  </w:style>
  <w:style w:type="paragraph" w:styleId="Kop2">
    <w:name w:val="heading 2"/>
    <w:basedOn w:val="Standaard"/>
    <w:next w:val="Standaard"/>
    <w:link w:val="Kop2Char"/>
    <w:uiPriority w:val="9"/>
    <w:unhideWhenUsed/>
    <w:qFormat/>
    <w:rsid w:val="00CA7D23"/>
    <w:pPr>
      <w:keepNext/>
      <w:keepLines/>
      <w:spacing w:before="40" w:after="0"/>
      <w:outlineLvl w:val="1"/>
    </w:pPr>
    <w:rPr>
      <w:rFonts w:asciiTheme="majorHAnsi" w:eastAsiaTheme="majorEastAsia" w:hAnsiTheme="majorHAnsi" w:cstheme="majorBidi"/>
      <w:b/>
      <w:i/>
      <w:color w:val="EA639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2249"/>
    <w:rPr>
      <w:rFonts w:ascii="Century Gothic" w:eastAsia="Arial" w:hAnsi="Century Gothic" w:cs="Arial"/>
      <w:color w:val="EA639F"/>
      <w:sz w:val="40"/>
      <w:szCs w:val="40"/>
      <w:lang w:val="nl" w:eastAsia="nl-NL"/>
    </w:rPr>
  </w:style>
  <w:style w:type="character" w:customStyle="1" w:styleId="Kop2Char">
    <w:name w:val="Kop 2 Char"/>
    <w:basedOn w:val="Standaardalinea-lettertype"/>
    <w:link w:val="Kop2"/>
    <w:uiPriority w:val="9"/>
    <w:rsid w:val="00CA7D23"/>
    <w:rPr>
      <w:rFonts w:asciiTheme="majorHAnsi" w:eastAsiaTheme="majorEastAsia" w:hAnsiTheme="majorHAnsi" w:cstheme="majorBidi"/>
      <w:b/>
      <w:i/>
      <w:color w:val="EA639F"/>
      <w:sz w:val="26"/>
      <w:szCs w:val="26"/>
    </w:rPr>
  </w:style>
  <w:style w:type="paragraph" w:styleId="Koptekst">
    <w:name w:val="header"/>
    <w:basedOn w:val="Standaard"/>
    <w:link w:val="KoptekstChar"/>
    <w:uiPriority w:val="99"/>
    <w:unhideWhenUsed/>
    <w:rsid w:val="00E812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214"/>
  </w:style>
  <w:style w:type="paragraph" w:styleId="Voettekst">
    <w:name w:val="footer"/>
    <w:basedOn w:val="Standaard"/>
    <w:link w:val="VoettekstChar"/>
    <w:uiPriority w:val="99"/>
    <w:unhideWhenUsed/>
    <w:rsid w:val="00E81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214"/>
  </w:style>
  <w:style w:type="character" w:styleId="Verwijzingopmerking">
    <w:name w:val="annotation reference"/>
    <w:basedOn w:val="Standaardalinea-lettertype"/>
    <w:uiPriority w:val="99"/>
    <w:semiHidden/>
    <w:unhideWhenUsed/>
    <w:rsid w:val="00C45E20"/>
    <w:rPr>
      <w:sz w:val="16"/>
      <w:szCs w:val="16"/>
    </w:rPr>
  </w:style>
  <w:style w:type="paragraph" w:styleId="Tekstopmerking">
    <w:name w:val="annotation text"/>
    <w:basedOn w:val="Standaard"/>
    <w:link w:val="TekstopmerkingChar"/>
    <w:uiPriority w:val="99"/>
    <w:semiHidden/>
    <w:unhideWhenUsed/>
    <w:rsid w:val="00C45E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E20"/>
    <w:rPr>
      <w:sz w:val="20"/>
      <w:szCs w:val="20"/>
    </w:rPr>
  </w:style>
  <w:style w:type="paragraph" w:styleId="Onderwerpvanopmerking">
    <w:name w:val="annotation subject"/>
    <w:basedOn w:val="Tekstopmerking"/>
    <w:next w:val="Tekstopmerking"/>
    <w:link w:val="OnderwerpvanopmerkingChar"/>
    <w:uiPriority w:val="99"/>
    <w:semiHidden/>
    <w:unhideWhenUsed/>
    <w:rsid w:val="00C45E20"/>
    <w:rPr>
      <w:b/>
      <w:bCs/>
    </w:rPr>
  </w:style>
  <w:style w:type="character" w:customStyle="1" w:styleId="OnderwerpvanopmerkingChar">
    <w:name w:val="Onderwerp van opmerking Char"/>
    <w:basedOn w:val="TekstopmerkingChar"/>
    <w:link w:val="Onderwerpvanopmerking"/>
    <w:uiPriority w:val="99"/>
    <w:semiHidden/>
    <w:rsid w:val="00C45E20"/>
    <w:rPr>
      <w:b/>
      <w:bCs/>
      <w:sz w:val="20"/>
      <w:szCs w:val="20"/>
    </w:rPr>
  </w:style>
  <w:style w:type="paragraph" w:styleId="Revisie">
    <w:name w:val="Revision"/>
    <w:hidden/>
    <w:uiPriority w:val="99"/>
    <w:semiHidden/>
    <w:rsid w:val="00C45E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Codfried | Bilan coaching, training &amp; advies</dc:creator>
  <cp:keywords/>
  <dc:description/>
  <cp:lastModifiedBy>Diana Codfried | Bilan coaching, training &amp; advies</cp:lastModifiedBy>
  <cp:revision>2</cp:revision>
  <dcterms:created xsi:type="dcterms:W3CDTF">2023-01-17T09:41:00Z</dcterms:created>
  <dcterms:modified xsi:type="dcterms:W3CDTF">2023-01-17T09:41:00Z</dcterms:modified>
</cp:coreProperties>
</file>